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RELANCES D'IMPAYÉ — TROIS NIVEAUX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Trois courriers à envoyer dans l'ordre, à quelques semaines d'intervalle. Ne sautez pas le premier : une part importante des retards vient d'une facture égarée, pas d'une difficulté de trésorerie.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Niveau 1 — Rappel, dès le lendemain de l'échéance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Objet : </w:t>
      </w:r>
      <w:r>
        <w:rPr>
          <w:color w:val="6B6B7B"/>
          <w:sz w:val="20"/>
          <w:szCs w:val="20"/>
        </w:rPr>
        <w:t xml:space="preserve">Facture n° … arrivée à échéance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Envoi : </w:t>
      </w:r>
      <w:r>
        <w:rPr>
          <w:color w:val="6B6B7B"/>
          <w:sz w:val="20"/>
          <w:szCs w:val="20"/>
        </w:rPr>
        <w:t xml:space="preserve">Courriel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Madame, Monsieur,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Sauf erreur de notre part, la facture n° … du … , d'un montant de … € TTC, est arrivée à échéance le … et demeure impayée à ce jour.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Il s'agit probablement d'un simple oubli. Vous trouverez ci-joint une copie de la facture. Nous vous remercions de bien vouloir procéder au règlement dans les meilleurs délais.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Si ce règlement a été effectué entre-temps, nous vous prions de ne pas tenir compte de ce message.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Nous restons à votre disposition et vous prions d'agréer, Madame, Monsieur, l'expression de nos salutations distinguées.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Niveau 2 — Relance chiffrée, à quinze jours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Objet : </w:t>
      </w:r>
      <w:r>
        <w:rPr>
          <w:color w:val="6B6B7B"/>
          <w:sz w:val="20"/>
          <w:szCs w:val="20"/>
        </w:rPr>
        <w:t xml:space="preserve">Deuxième relance — facture n° … impayée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Envoi : </w:t>
      </w:r>
      <w:r>
        <w:rPr>
          <w:color w:val="6B6B7B"/>
          <w:sz w:val="20"/>
          <w:szCs w:val="20"/>
        </w:rPr>
        <w:t xml:space="preserve">Courriel, avec copie au responsable comptable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Madame, Monsieur,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Malgré notre relance du … , la facture n° … du … , d'un montant de … € TTC, reste impayée. Son échéance était fixée au … , soit un retard de … jours à ce jour.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Conformément à nos conditions de vente et aux articles L441-10 et D441-5 du code de commerce, ce retard donne lieu de plein droit :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3023"/>
        <w:gridCol w:w="3023"/>
        <w:gridCol w:w="3023"/>
      </w:tblGrid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Nature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Base de calcul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Montant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Principal restant dû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Facture n° …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 €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Pénalités de retard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 jours au taux de …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 €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Indemnité forfaitaire de recouvrement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Par facture en retard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40,00 €</w:t>
            </w:r>
          </w:p>
        </w:tc>
      </w:tr>
      <w:tr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Total réclamé</w:t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/>
            </w:r>
          </w:p>
        </w:tc>
        <w:tc>
          <w:tcPr>
            <w:tcW w:w="3023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 €</w:t>
            </w:r>
          </w:p>
        </w:tc>
      </w:tr>
    </w:tbl>
    <w:p>
      <w:pPr>
        <w:spacing w:before="0" w:after="120"/>
      </w:pPr>
    </w:p>
    <w:p>
      <w:pPr>
        <w:spacing w:before="0" w:after="120"/>
      </w:pPr>
      <w:r>
        <w:rPr>
          <w:color w:val="16151F"/>
          <w:sz w:val="20"/>
          <w:szCs w:val="20"/>
        </w:rPr>
        <w:t xml:space="preserve">Nous vous remercions de procéder au règlement de cette somme sous huitaine. À défaut, nous serions contraints d'engager la procédure de recouvrement.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Veuillez agréer, Madame, Monsieur, l'expression de nos salutations distinguées.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Niveau 3 — Dernier avis avant mise en demeure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Objet : </w:t>
      </w:r>
      <w:r>
        <w:rPr>
          <w:color w:val="6B6B7B"/>
          <w:sz w:val="20"/>
          <w:szCs w:val="20"/>
        </w:rPr>
        <w:t xml:space="preserve">Dernier avis avant mise en demeure — facture n° 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Envoi : </w:t>
      </w:r>
      <w:r>
        <w:rPr>
          <w:color w:val="6B6B7B"/>
          <w:sz w:val="20"/>
          <w:szCs w:val="20"/>
        </w:rPr>
        <w:t xml:space="preserve">Courriel et courrier simple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Madame, Monsieur,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Nos relances des … et … étant restées sans réponse, nous vous informons que la facture n° … , d'un montant total réclamé de … € (principal, pénalités et indemnité forfaitaire), fera l'objet d'une mise en demeure par lettre recommandée avec accusé de réception à défaut de règlement au … 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Nous restons ouverts à un échange sur un échéancier, à condition qu'il soit convenu par écrit avant cette date.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Veuillez agréer, Madame, Monsieur, l'expression de nos salutations distinguées.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Les pénalités de retard sont exigibles dès le lendemain de la date d'échéance, sans qu'un rappel soit nécessaire (art. L441-10 du code de commerce).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Entre le niveau 2 et le niveau 3, appelez. C'est l'étape la plus efficace et la plus souvent sautée : elle apprend si la facture est contestée, perdue, ou si l'entreprise est en difficulté.</w:t>
      </w:r>
    </w:p>
    <w:sectPr>
      <w:pgSz w:w="11906" w:h="16838"/>
      <w:pgMar w:top="1134" w:right="1134" w:bottom="1134" w:left="1134" w:header="708" w:footer="708" w:gutter="0"/>
    </w:sectPr>
  </w:body>
</w:document>
</file>