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rPr>
          <w:b/>
          <w:color w:val="6A35F0"/>
          <w:sz w:val="40"/>
          <w:szCs w:val="40"/>
        </w:rPr>
        <w:t xml:space="preserve">NOTE DE FRAIS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Une note de frais se rembourse sur justificatifs. Sans le justificatif d'origine attaché, la dépense n'est ni déductible ni récupérable en TVA.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Nom et prénom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Fonction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Entreprise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Période concernée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d'établissement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Détail des dépenses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Date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Nature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Motif professionnel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Montant TTC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Dont TVA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Justificatif n°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Repas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Carburant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Péage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Hébergement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Transport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Fournitures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</w:tbl>
    <w:p>
      <w:pPr>
        <w:spacing w:before="0" w:after="120"/>
      </w:pP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Indemnités kilométriques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Date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Trajet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Motif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Km parcourus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Barème applicable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Montant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</w:tbl>
    <w:p>
      <w:pPr>
        <w:spacing w:before="0" w:after="120"/>
      </w:pP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Total des dépenses TTC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Total des indemnités kilométriques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b/>
          <w:color w:val="16151F"/>
          <w:sz w:val="20"/>
          <w:szCs w:val="20"/>
        </w:rPr>
        <w:t xml:space="preserve">Total à rembourser  </w:t>
      </w:r>
      <w:r>
        <w:rPr>
          <w:b/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Validation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et signature du salarié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et signature du responsable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de remboursement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Chaque ligne doit être appuyée d'un justificatif original, numéroté et joint. Les justificatifs se conservent selon les durées applicables aux pièces comptables.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Le barème kilométrique applicable dépend de la puissance fiscale du véhicule et de la distance annuelle : il est publié chaque année par l'administration.</w:t>
      </w:r>
    </w:p>
    <w:sectPr>
      <w:pgSz w:w="11906" w:h="16838"/>
      <w:pgMar w:top="1134" w:right="1134" w:bottom="1134" w:left="1134" w:header="708" w:footer="708" w:gutter="0"/>
    </w:sectPr>
  </w:body>
</w:document>
</file>