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240"/>
      </w:pPr>
      <w:r>
        <w:rPr>
          <w:b/>
          <w:color w:val="6A35F0"/>
          <w:sz w:val="40"/>
          <w:szCs w:val="40"/>
        </w:rPr>
        <w:t xml:space="preserve">FACTURE N° 2026-0001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Le numéro doit appartenir à une séquence chronologique continue, sans trou ni doublon, sur l'exercice entier.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Émetteur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Forme juridique et capital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Adresse du siège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SIREN / RCS ou RM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N° de TVA intracommunautaire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Client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Adresse de facturation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N° de TVA intracommunautaire du client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d'émission de la facture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de la livraison ou de la prestation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Référence de commande ou de devis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Détail</w:t>
      </w:r>
    </w:p>
    <w:tbl>
      <w:tblPr>
        <w:tblW w:w="9070" w:type="dxa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1511"/>
        <w:gridCol w:w="1511"/>
        <w:gridCol w:w="1511"/>
        <w:gridCol w:w="1511"/>
        <w:gridCol w:w="1511"/>
        <w:gridCol w:w="1511"/>
      </w:tblGrid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Désignation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Quantité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Prix unitaire HT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Remise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TVA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Total HT</w:t>
            </w:r>
          </w:p>
        </w:tc>
      </w:tr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1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—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20 %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20 %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</w:tbl>
    <w:p>
      <w:pPr>
        <w:spacing w:before="0" w:after="120"/>
      </w:pPr>
    </w:p>
    <w:p>
      <w:pPr>
        <w:spacing w:before="0" w:after="60"/>
        <w:jc w:val="right"/>
      </w:pPr>
      <w:r>
        <w:rPr>
          <w:color w:val="16151F"/>
          <w:sz w:val="20"/>
          <w:szCs w:val="20"/>
        </w:rPr>
        <w:t xml:space="preserve">Total HT  </w:t>
      </w:r>
      <w:r>
        <w:rPr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60"/>
        <w:jc w:val="right"/>
      </w:pPr>
      <w:r>
        <w:rPr>
          <w:color w:val="16151F"/>
          <w:sz w:val="20"/>
          <w:szCs w:val="20"/>
        </w:rPr>
        <w:t xml:space="preserve">TVA 20 %  </w:t>
      </w:r>
      <w:r>
        <w:rPr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60"/>
        <w:jc w:val="right"/>
      </w:pPr>
      <w:r>
        <w:rPr>
          <w:color w:val="16151F"/>
          <w:sz w:val="20"/>
          <w:szCs w:val="20"/>
        </w:rPr>
        <w:t xml:space="preserve">Total TTC  </w:t>
      </w:r>
      <w:r>
        <w:rPr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60"/>
        <w:jc w:val="right"/>
      </w:pPr>
      <w:r>
        <w:rPr>
          <w:b/>
          <w:color w:val="16151F"/>
          <w:sz w:val="20"/>
          <w:szCs w:val="20"/>
        </w:rPr>
        <w:t xml:space="preserve">Net à payer  </w:t>
      </w:r>
      <w:r>
        <w:rPr>
          <w:b/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Règlement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d'échéance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Moyen de paiement accepté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Coordonnées bancaires (IBAN)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Pénalités de retard : en cas de retard de paiement, application de pénalités calculées au taux de trois fois le taux d'intérêt légal, exigibles sans rappel préalable.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Indemnité forfaitaire pour frais de recouvrement : 40 € (art. L441-10 et D441-5 du code de commerce).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Escompte pour paiement anticipé : néant, sauf accord particulier.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Une facture émise ne se modifie pas : une erreur se corrige par un avoir, qui laisse les deux pièces dans vos archives. Conservation : dix ans.</w:t>
      </w:r>
    </w:p>
    <w:sectPr>
      <w:pgSz w:w="11906" w:h="16838"/>
      <w:pgMar w:top="1134" w:right="1134" w:bottom="1134" w:left="1134" w:header="708" w:footer="708" w:gutter="0"/>
    </w:sectPr>
  </w:body>
</w:document>
</file>