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FACTURE N° 2026-0001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Modèle pour un sous-traitant de travaux de bâtiment facturant un donneur d'ordre assujetti à la TVA en France : la facture est émise hors taxes.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Sous-traitant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SIREN et 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N° de TVA intracommunautaire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Assurance décennale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Donneur d'ordre (entreprise principale)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N° de TVA intracommunautaire du donneur d'ordre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Contrat de sous-traitance de référence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du chantier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d'émission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d'achèvement des travaux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Travaux réalisés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Désignation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Unité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Quantité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Prix unitaire HT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Total HT</w:t>
            </w:r>
          </w:p>
        </w:tc>
      </w:tr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m²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h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814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Total HT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TVA  </w:t>
      </w:r>
      <w:r>
        <w:rPr>
          <w:color w:val="16151F"/>
          <w:sz w:val="20"/>
          <w:szCs w:val="20"/>
        </w:rPr>
        <w:t xml:space="preserve">Autoliquidation</w:t>
      </w:r>
    </w:p>
    <w:p>
      <w:pPr>
        <w:spacing w:before="0" w:after="60"/>
        <w:jc w:val="right"/>
      </w:pPr>
      <w:r>
        <w:rPr>
          <w:b/>
          <w:color w:val="16151F"/>
          <w:sz w:val="20"/>
          <w:szCs w:val="20"/>
        </w:rPr>
        <w:t xml:space="preserve">Net à payer  </w:t>
      </w:r>
      <w:r>
        <w:rPr>
          <w:b/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Autoliquidation — TVA due par le preneur assujetti, en application de l'article 283-2 nonies du code général des impôts.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Pénalités de retard : en cas de retard de paiement, application de pénalités calculées au taux de trois fois le taux d'intérêt légal, exigibles sans rappel préalable.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Indemnité forfaitaire pour frais de recouvrement : 40 € (art. L441-10 et D441-5 du code de commerce).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Trois conditions doivent être réunies : des travaux de bâtiment, une relation de sous-traitance au sens du contrat, et un donneur d'ordre assujetti à la TVA en France.</w:t>
      </w:r>
    </w:p>
    <w:sectPr>
      <w:pgSz w:w="11906" w:h="16838"/>
      <w:pgMar w:top="1134" w:right="1134" w:bottom="1134" w:left="1134" w:header="708" w:footer="708" w:gutter="0"/>
    </w:sectPr>
  </w:body>
</w:document>
</file>