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FACTURE N° 2026-0001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Modèle pour un micro-entrepreneur ou toute entreprise relevant de la franchise en base de TVA : la facture ne fait apparaître ni taux ni montant de taxe.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Émetteur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Immatriculation (RCS, RM) le cas échéant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Assurance professionnelle obligatoire, le cas échéant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d'émission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la prestation ou de la livraison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Détail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Quantité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Prix unitaire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</w:t>
            </w:r>
          </w:p>
        </w:tc>
      </w:tr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Total à payer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TVA non applicable — article 293 B du code général des impôts.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Pénalités de retard : en cas de retard de paiement, application de pénalités calculées au taux de trois fois le taux d'intérêt légal, exigibles sans rappel préalable.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Indemnité forfaitaire pour frais de recouvrement : 40 € (art. L441-10 et D441-5 du code de commerce).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d'échéance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Moyen de règlement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Deux compteurs se surveillent en parallèle : le seuil de franchise en base de TVA, et le plafond de chiffre d'affaires du régime micro. Ils ne se déclenchent pas au même endroit.</w:t>
      </w:r>
    </w:p>
    <w:sectPr>
      <w:pgSz w:w="11906" w:h="16838"/>
      <w:pgMar w:top="1134" w:right="1134" w:bottom="1134" w:left="1134" w:header="708" w:footer="708" w:gutter="0"/>
    </w:sectPr>
  </w:body>
</w:document>
</file>