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40"/>
      </w:pPr>
      <w:r>
        <w:rPr>
          <w:b/>
          <w:color w:val="6A35F0"/>
          <w:sz w:val="40"/>
          <w:szCs w:val="40"/>
        </w:rPr>
        <w:t xml:space="preserve">FACTURE D'ACOMPTE N° 2026-0001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Un acompte encaissé appelle une facture à part entière, avec son propre numéro et sa TVA. Son montant se déduira de la facture de solde.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Émetteur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SIREN et adresse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N° de TVA intracommunautaire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Client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Adresse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d'émission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d'encaissement de l'acompte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Devis ou commande de référence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Objet</w:t>
      </w:r>
    </w:p>
    <w:tbl>
      <w:tblPr>
        <w:tblW w:w="9070" w:type="dxa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1511"/>
        <w:gridCol w:w="1511"/>
        <w:gridCol w:w="1511"/>
        <w:gridCol w:w="1511"/>
        <w:gridCol w:w="1511"/>
        <w:gridCol w:w="1511"/>
      </w:tblGrid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Désignation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Montant total de l'opération HT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Taux d'acompte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Acompte HT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TVA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Acompte TTC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30 %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20 %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</w:tbl>
    <w:p>
      <w:pPr>
        <w:spacing w:before="0" w:after="120"/>
      </w:pP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Acompte HT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TVA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b/>
          <w:color w:val="16151F"/>
          <w:sz w:val="20"/>
          <w:szCs w:val="20"/>
        </w:rPr>
        <w:t xml:space="preserve">Acompte TTC à payer  </w:t>
      </w:r>
      <w:r>
        <w:rPr>
          <w:b/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Le présent acompte s'imputera sur la facture de solde de l'opération, qui en rappellera le numéro et le montant.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Pénalités de retard : en cas de retard de paiement, application de pénalités calculées au taux de trois fois le taux d'intérêt légal, exigibles sans rappel préalable.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Indemnité forfaitaire pour frais de recouvrement : 40 € (art. L441-10 et D441-5 du code de commerce).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La facture de solde reprend le montant TOTAL de l'opération, puis déduit les acomptes déjà facturés en les référençant. Ce n'est pas une remise.</w:t>
      </w:r>
    </w:p>
    <w:sectPr>
      <w:pgSz w:w="11906" w:h="16838"/>
      <w:pgMar w:top="1134" w:right="1134" w:bottom="1134" w:left="1134" w:header="708" w:footer="708" w:gutter="0"/>
    </w:sectPr>
  </w:body>
</w:document>
</file>