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DEVIS N° 2026-001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Remplacez les pointillés par vos informations, puis supprimez cette ligne et les autres passages en couleur.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Émetteur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Forme juridique et capital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du siège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/ RCS ou RM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N° de TVA intracommunautaire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Téléphone et courriel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Client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d'exécution si différente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d'établissement du devis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Durée de validité de l'offre : </w:t>
      </w:r>
      <w:r>
        <w:rPr>
          <w:color w:val="6B6B7B"/>
          <w:sz w:val="20"/>
          <w:szCs w:val="20"/>
        </w:rPr>
        <w:t xml:space="preserve">30 jours à compter de la date d'établissement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Détail de la prestation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Désignation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Unité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Quantité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Prix unitaire HT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TVA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Total HT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u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20 %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h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20 %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forfait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20 %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HT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TVA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b/>
          <w:color w:val="16151F"/>
          <w:sz w:val="20"/>
          <w:szCs w:val="20"/>
        </w:rPr>
        <w:t xml:space="preserve">Total TTC  </w:t>
      </w:r>
      <w:r>
        <w:rPr>
          <w:b/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Conditions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Délai d'exécution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Acompte demandé à la commande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Modalités de règlement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Délai de paiement du solde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Devis gratuit. L'acceptation du présent devis vaut commande et engage les deux parties sur le prix, le contenu et les délais qui y figurent.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Pénalités de retard : en cas de retard de paiement, application de pénalités calculées au taux de trois fois le taux d'intérêt légal, exigibles sans rappel préalable.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Indemnité forfaitaire pour frais de recouvrement : 40 € (art. L441-10 et D441-5 du code de commerce).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Acceptation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Bon pour accord — date, nom du signataire et signature :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Nom et qualité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Signature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Un devis accepté engage sur le prix : toute prestation supplémentaire appelle un avenant ou un nouveau devis, accepté lui aussi.</w:t>
      </w:r>
    </w:p>
    <w:sectPr>
      <w:pgSz w:w="11906" w:h="16838"/>
      <w:pgMar w:top="1134" w:right="1134" w:bottom="1134" w:left="1134" w:header="708" w:footer="708" w:gutter="0"/>
    </w:sectPr>
  </w:body>
</w:document>
</file>