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ATTESTATION — TAUX RÉDUIT DE TVA SUR TRAVAUX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⚠️ L'administration fiscale publie son propre formulaire d'attestation sur impots.gouv.fr, et c'est celui-là qui fait référence. Ce modèle en reprend les rubriques pour préparer l'échange avec votre client ; vérifiez la version officielle en vigueur avant de le faire signer.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Attestation à faire remplir et signer par le CLIENT, et à conserver par l'entreprise à l'appui de sa facture.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Le client soussigné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et prénom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Qualité : </w:t>
      </w:r>
      <w:r>
        <w:rPr>
          <w:color w:val="6B6B7B"/>
          <w:sz w:val="20"/>
          <w:szCs w:val="20"/>
        </w:rPr>
        <w:t xml:space="preserve">Propriétaire · Locataire · Occupant · Syndic · Autre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local objet des travaux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Nature du local : </w:t>
      </w:r>
      <w:r>
        <w:rPr>
          <w:color w:val="6B6B7B"/>
          <w:sz w:val="20"/>
          <w:szCs w:val="20"/>
        </w:rPr>
        <w:t xml:space="preserve">Maison individuelle · Appartement · Immeuble collectif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Affectation : </w:t>
      </w:r>
      <w:r>
        <w:rPr>
          <w:color w:val="6B6B7B"/>
          <w:sz w:val="20"/>
          <w:szCs w:val="20"/>
        </w:rPr>
        <w:t xml:space="preserve">Habitation exclusive · Habitation et usage professionnel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Le local est achevé depuis plus de deux ans : </w:t>
      </w:r>
      <w:r>
        <w:rPr>
          <w:color w:val="6B6B7B"/>
          <w:sz w:val="20"/>
          <w:szCs w:val="20"/>
        </w:rPr>
        <w:t xml:space="preserve">Oui · Non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Nature des travaux réalisés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23"/>
        <w:gridCol w:w="3023"/>
        <w:gridCol w:w="3023"/>
      </w:tblGrid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Travaux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Taux demandé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Observations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Travaux d'amélioration, de transformation, d'aménagement ou d'entretien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Travaux d'amélioration de la qualité énergétique, et travaux induits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5,5 %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Entreprise réalisant les travaux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Dénomination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Devis ou facture de référence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Le client atteste de l'exactitude des informations portées ci-dessus. Il est informé que l'inexactitude de cette attestation peut entraîner sa responsabilité et le rappel du complément de taxe.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L'entreprise conserve la présente attestation à l'appui de sa comptabilité, pour la durée applicable aux pièces justificatives.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Fait à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Le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du 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Sans cette attestation, c'est l'ENTREPRISE qui supporte le rappel de TVA en cas de contrôle, et non le client qui a bénéficié du taux réduit.</w:t>
      </w:r>
    </w:p>
    <w:sectPr>
      <w:pgSz w:w="11906" w:h="16838"/>
      <w:pgMar w:top="1134" w:right="1134" w:bottom="1134" w:left="1134" w:header="708" w:footer="708" w:gutter="0"/>
    </w:sectPr>
  </w:body>
</w:document>
</file>